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196798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Что такое ранее учтенный земельный участок?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196798" w:rsidRPr="00196798" w:rsidRDefault="001F3B81" w:rsidP="00196798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bCs/>
          <w:color w:val="0D0D0D"/>
          <w:sz w:val="24"/>
          <w:szCs w:val="24"/>
        </w:rPr>
      </w:pPr>
      <w:proofErr w:type="gramStart"/>
      <w:r w:rsidRPr="006F61A6">
        <w:rPr>
          <w:rFonts w:ascii="Segoe UI" w:hAnsi="Segoe UI" w:cs="Segoe UI"/>
          <w:b/>
        </w:rPr>
        <w:t xml:space="preserve">Красноярск, </w:t>
      </w:r>
      <w:r w:rsidR="00196798">
        <w:rPr>
          <w:rFonts w:ascii="Segoe UI" w:hAnsi="Segoe UI" w:cs="Segoe UI"/>
          <w:b/>
        </w:rPr>
        <w:t>12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196798"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>Многие граждане нашей страны получили в собственность земельные участки до введения в действие Земельного кодекса Российской Федерации – 20.10.2001г. Данные участки были предоставлены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 на праве собственности, либо в пользование на неограниченный срок, а именно: на праве постоянного (бессрочного) пользования, пожизненного</w:t>
      </w:r>
      <w:proofErr w:type="gramEnd"/>
      <w:r w:rsidR="00196798"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 xml:space="preserve"> наследуемого владения.</w:t>
      </w:r>
    </w:p>
    <w:p w:rsidR="00196798" w:rsidRPr="00196798" w:rsidRDefault="00196798" w:rsidP="00196798">
      <w:pPr>
        <w:pStyle w:val="Standard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0D0D0D"/>
          <w:sz w:val="24"/>
          <w:szCs w:val="24"/>
        </w:rPr>
      </w:pPr>
      <w:r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 xml:space="preserve">На сегодняшний день такие участки считаются ранее учтенными и имеют особый – </w:t>
      </w:r>
      <w:r w:rsidRPr="00196798">
        <w:rPr>
          <w:rFonts w:ascii="Segoe UI" w:eastAsia="Times New Roman" w:hAnsi="Segoe UI" w:cs="Segoe UI"/>
          <w:b/>
          <w:bCs/>
          <w:color w:val="0D0D0D"/>
          <w:sz w:val="24"/>
          <w:szCs w:val="24"/>
        </w:rPr>
        <w:t xml:space="preserve">упрощенный </w:t>
      </w:r>
      <w:r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 xml:space="preserve">порядок внесения в государственный кадастр недвижимости. Так заявителю не требуется получение акта органа власти или органа местного самоуправления о предоставлении земельного участка в собственность, ввиду наличия документов, выданных ранее (до 20.10.2001) и подтверждающих права на участок. Кроме того, такие участки подлежат постановке на кадастровый </w:t>
      </w:r>
      <w:proofErr w:type="gramStart"/>
      <w:r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>учет</w:t>
      </w:r>
      <w:proofErr w:type="gramEnd"/>
      <w:r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 xml:space="preserve"> не проходя процедуру межевания.</w:t>
      </w:r>
    </w:p>
    <w:p w:rsidR="00070CCB" w:rsidRDefault="00196798" w:rsidP="00A42361">
      <w:pPr>
        <w:pStyle w:val="Standard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0D0D0D"/>
          <w:sz w:val="24"/>
          <w:szCs w:val="24"/>
        </w:rPr>
      </w:pPr>
      <w:r w:rsidRPr="00196798">
        <w:rPr>
          <w:rFonts w:ascii="Segoe UI" w:eastAsia="Times New Roman" w:hAnsi="Segoe UI" w:cs="Segoe UI"/>
          <w:bCs/>
          <w:color w:val="0D0D0D"/>
          <w:sz w:val="24"/>
          <w:szCs w:val="24"/>
        </w:rPr>
        <w:t>Также следует отметить, в соответствии с приказом Минэкономразвития от 05.04.2013 № 177 при рассмотрении заявления о внесении сведений о ранее учтенном объекте недвижимости филиал, в случае необходимости, самостоятельно запрашивает в органах власти и органах местного самоуправления требующиеся документы.</w:t>
      </w:r>
    </w:p>
    <w:p w:rsidR="00A42361" w:rsidRPr="00A42361" w:rsidRDefault="00A42361" w:rsidP="00A42361">
      <w:pPr>
        <w:pStyle w:val="Standard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0D0D0D"/>
          <w:sz w:val="24"/>
          <w:szCs w:val="24"/>
        </w:rPr>
      </w:pPr>
    </w:p>
    <w:p w:rsidR="00070CCB" w:rsidRPr="00070CCB" w:rsidRDefault="00070CCB" w:rsidP="00070CC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A42361">
      <w:pPr>
        <w:ind w:firstLine="709"/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231782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23178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42361">
      <w:rPr>
        <w:noProof/>
        <w:sz w:val="16"/>
        <w:szCs w:val="16"/>
      </w:rPr>
      <w:t>12.02.2016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42361">
      <w:rPr>
        <w:noProof/>
        <w:sz w:val="16"/>
        <w:szCs w:val="16"/>
      </w:rPr>
      <w:t>12:03:19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4236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4236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D6AE-79DD-469A-84CB-67882810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14</cp:revision>
  <cp:lastPrinted>2015-12-15T03:28:00Z</cp:lastPrinted>
  <dcterms:created xsi:type="dcterms:W3CDTF">2015-12-11T04:39:00Z</dcterms:created>
  <dcterms:modified xsi:type="dcterms:W3CDTF">2016-02-12T05:03:00Z</dcterms:modified>
</cp:coreProperties>
</file>